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1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shd w:fill="ffffff" w:val="clea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Tres expresiones, un regalo perfecto para esta época</w:t>
      </w:r>
    </w:p>
    <w:p w:rsidR="00000000" w:rsidDel="00000000" w:rsidP="00000000" w:rsidRDefault="00000000" w:rsidRPr="00000000" w14:paraId="00000003">
      <w:pPr>
        <w:shd w:fill="ffffff" w:val="clear"/>
        <w:spacing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keepNext w:val="1"/>
        <w:numPr>
          <w:ilvl w:val="0"/>
          <w:numId w:val="1"/>
        </w:numPr>
        <w:shd w:fill="ffffff" w:val="clear"/>
        <w:ind w:left="720" w:right="0" w:hanging="360"/>
        <w:jc w:val="center"/>
        <w:rPr/>
      </w:pPr>
      <w:r w:rsidDel="00000000" w:rsidR="00000000" w:rsidRPr="00000000">
        <w:rPr>
          <w:rFonts w:ascii="Calibri" w:cs="Calibri" w:eastAsia="Calibri" w:hAnsi="Calibri"/>
          <w:sz w:val="20"/>
          <w:szCs w:val="20"/>
          <w:rtl w:val="0"/>
        </w:rPr>
        <w:t xml:space="preserve">Con la llegada de la época de festividades, llega, a su vez, el momento de elegir los regalos perfectos para cada ser querido.  Para facilitar esa elección, Tequila Casa Dragones presenta un set especial que contiene algunas de sus expresiones más emblemáticas, listas para protagonizar los brindis durante estas últimas semanas de 2023.</w:t>
      </w:r>
    </w:p>
    <w:p w:rsidR="00000000" w:rsidDel="00000000" w:rsidP="00000000" w:rsidRDefault="00000000" w:rsidRPr="00000000" w14:paraId="00000005">
      <w:pPr>
        <w:keepNext w:val="1"/>
        <w:shd w:fill="ffffff" w:val="clear"/>
        <w:ind w:left="72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Fonts w:ascii="Calibri" w:cs="Calibri" w:eastAsia="Calibri" w:hAnsi="Calibri"/>
          <w:b w:val="1"/>
          <w:sz w:val="20"/>
          <w:szCs w:val="20"/>
          <w:rtl w:val="0"/>
        </w:rPr>
        <w:t xml:space="preserve">Ciudad de México, a </w:t>
      </w:r>
      <w:r w:rsidDel="00000000" w:rsidR="00000000" w:rsidRPr="00000000">
        <w:rPr>
          <w:rFonts w:ascii="Calibri" w:cs="Calibri" w:eastAsia="Calibri" w:hAnsi="Calibri"/>
          <w:b w:val="1"/>
          <w:sz w:val="20"/>
          <w:szCs w:val="20"/>
          <w:highlight w:val="yellow"/>
          <w:rtl w:val="0"/>
        </w:rPr>
        <w:t xml:space="preserve">XX</w:t>
      </w:r>
      <w:r w:rsidDel="00000000" w:rsidR="00000000" w:rsidRPr="00000000">
        <w:rPr>
          <w:rFonts w:ascii="Calibri" w:cs="Calibri" w:eastAsia="Calibri" w:hAnsi="Calibri"/>
          <w:b w:val="1"/>
          <w:sz w:val="20"/>
          <w:szCs w:val="20"/>
          <w:rtl w:val="0"/>
        </w:rPr>
        <w:t xml:space="preserve"> de noviembre de 2023.- </w:t>
      </w:r>
      <w:r w:rsidDel="00000000" w:rsidR="00000000" w:rsidRPr="00000000">
        <w:rPr>
          <w:rFonts w:ascii="Calibri" w:cs="Calibri" w:eastAsia="Calibri" w:hAnsi="Calibri"/>
          <w:sz w:val="20"/>
          <w:szCs w:val="20"/>
          <w:rtl w:val="0"/>
        </w:rPr>
        <w:t xml:space="preserve"> </w:t>
      </w:r>
      <w:hyperlink r:id="rId6">
        <w:r w:rsidDel="00000000" w:rsidR="00000000" w:rsidRPr="00000000">
          <w:rPr>
            <w:rFonts w:ascii="Calibri" w:cs="Calibri" w:eastAsia="Calibri" w:hAnsi="Calibri"/>
            <w:color w:val="1155cc"/>
            <w:sz w:val="20"/>
            <w:szCs w:val="20"/>
            <w:u w:val="single"/>
            <w:rtl w:val="0"/>
          </w:rPr>
          <w:t xml:space="preserve">Tequila Casa Dragones</w:t>
        </w:r>
      </w:hyperlink>
      <w:r w:rsidDel="00000000" w:rsidR="00000000" w:rsidRPr="00000000">
        <w:rPr>
          <w:rFonts w:ascii="Calibri" w:cs="Calibri" w:eastAsia="Calibri" w:hAnsi="Calibri"/>
          <w:sz w:val="20"/>
          <w:szCs w:val="20"/>
          <w:rtl w:val="0"/>
        </w:rPr>
        <w:t xml:space="preserve"> siempre prepara diferentes sorpresas para la época de festividades: la cúspide del año, perfecta para estar más cerca familia y amigos, brindando por lo que fue y vendrá. Este 2023 no será la excepción. Esto, gracias al exclusivo set de regalo que incluye las presentaciones de 375 ml de Casa Dragones Añejo Barrel Blend, Reposado Mizunara y Casa Dragones Blanco, tres expresiones que hablan, desde sus respectivas categorías, sobre el cuidado en el detalle que caracteriza a esta productor de tequila en pequeños lotes. </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Cada una de las etiquetas que conforman este set de regalos representa una expresión distinta e innovadora del agave. Casa Dragones Añejo Barrel Blend, por ejemplo, es el resultado de un proceso único que tiene como protagonista a la madera, específicamente a la que da forma a las barricas donde se añeja este tequila: el roble francés y el roble americano, que ofrecen un combinación inusitada para el añejamiento de esta expresión, y dan como resultado un tequila diferente, especial y único dentro de esta categoría.</w:t>
      </w:r>
    </w:p>
    <w:p w:rsidR="00000000" w:rsidDel="00000000" w:rsidP="00000000" w:rsidRDefault="00000000" w:rsidRPr="00000000" w14:paraId="0000000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segundo protagonista lleva por nombre Casa Dragones Reposado Mizunara, la más reciente añadidura a un portafolio que ha cautivado a expertos y aficionados por igual. Como sus predecesores, esta etiqueta llegó para ofrecer algo nuevo con respecto a tequilas reposados. </w:t>
      </w:r>
    </w:p>
    <w:p w:rsidR="00000000" w:rsidDel="00000000" w:rsidP="00000000" w:rsidRDefault="00000000" w:rsidRPr="00000000" w14:paraId="0000000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Esto es posible, una vez más, gracias al sentido de innovación que acompaña a la casa: el uso de barricas nuevas de roble Mizunara –una de las maderas más codiciadas del mundo, cuidada a través de una sólida tradición en el país del sol naciente–, genera el balance perfecto entre la mineralidad del agave con las notas suaves y sedosas del roble japonés, para obtener así una dulzura refinada y elegante que desafía lo establecido.</w:t>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 por último, volvemos a los orígenes, a una de las expresiones que cimentó el perfil y reputación que hoy tiene Casa Dragones dentro de la industria tequilera: Tequila Casa Dragones Blanco.  Aquí, estamos frente a una bebida plata, que mantiene la elegancia y las sutilezas matizadas que se han convertido en sinónimo de calidad y versatilidad. Esta expresión ha adoptado diferentes rostros a través de la coctelería de alta gama, diseñada por mixólogos de renombre que se inspiran, año con año, para ofrecer recetas únicas en las mejores barras del mundo. </w:t>
      </w:r>
    </w:p>
    <w:p w:rsidR="00000000" w:rsidDel="00000000" w:rsidP="00000000" w:rsidRDefault="00000000" w:rsidRPr="00000000" w14:paraId="0000000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Cada una de estas etiquetas puede adquirirse por separada o dentro del nuevo set de regalo: un regalo ideal, versátil y único, que satisfará al conocedor o a aquella persona que desea explorar, por primera vez, las diferentes expresiones que dan forma al portafolio de esta casa tequilera. Además, la elegante caja con el característico azul de la marca, es el complemento perfecto para brindar una grata sorpresa para cualquiera durante esta época de festividades.</w:t>
      </w:r>
    </w:p>
    <w:p w:rsidR="00000000" w:rsidDel="00000000" w:rsidP="00000000" w:rsidRDefault="00000000" w:rsidRPr="00000000" w14:paraId="0000001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Fonts w:ascii="Calibri" w:cs="Calibri" w:eastAsia="Calibri" w:hAnsi="Calibri"/>
          <w:sz w:val="20"/>
          <w:szCs w:val="20"/>
          <w:rtl w:val="0"/>
        </w:rPr>
        <w:t xml:space="preserve">Para más información, visita </w:t>
      </w:r>
      <w:hyperlink r:id="rId7">
        <w:r w:rsidDel="00000000" w:rsidR="00000000" w:rsidRPr="00000000">
          <w:rPr>
            <w:rFonts w:ascii="Calibri" w:cs="Calibri" w:eastAsia="Calibri" w:hAnsi="Calibri"/>
            <w:color w:val="1155cc"/>
            <w:sz w:val="20"/>
            <w:szCs w:val="20"/>
            <w:u w:val="single"/>
            <w:rtl w:val="0"/>
          </w:rPr>
          <w:t xml:space="preserve">https://casadragones.com.mx/</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Fonts w:ascii="Calibri" w:cs="Calibri" w:eastAsia="Calibri" w:hAnsi="Calibri"/>
          <w:b w:val="1"/>
          <w:sz w:val="18"/>
          <w:szCs w:val="18"/>
          <w:rtl w:val="0"/>
        </w:rPr>
        <w:t xml:space="preserve">ACERCA DE</w:t>
      </w:r>
      <w:r w:rsidDel="00000000" w:rsidR="00000000" w:rsidRPr="00000000">
        <w:rPr>
          <w:rFonts w:ascii="Calibri" w:cs="Calibri" w:eastAsia="Calibri" w:hAnsi="Calibri"/>
          <w:b w:val="1"/>
          <w:color w:val="000000"/>
          <w:sz w:val="18"/>
          <w:szCs w:val="18"/>
          <w:rtl w:val="0"/>
        </w:rPr>
        <w:t xml:space="preserve"> CASA DRAGONES </w:t>
      </w:r>
      <w:r w:rsidDel="00000000" w:rsidR="00000000" w:rsidRPr="00000000">
        <w:rPr>
          <w:rFonts w:ascii="Calibri" w:cs="Calibri" w:eastAsia="Calibri" w:hAnsi="Calibri"/>
          <w:color w:val="000000"/>
          <w:sz w:val="18"/>
          <w:szCs w:val="18"/>
          <w:rtl w:val="0"/>
        </w:rPr>
        <w:t xml:space="preserve"> </w:t>
      </w:r>
      <w:r w:rsidDel="00000000" w:rsidR="00000000" w:rsidRPr="00000000">
        <w:rPr>
          <w:rtl w:val="0"/>
        </w:rPr>
      </w:r>
    </w:p>
    <w:p w:rsidR="00000000" w:rsidDel="00000000" w:rsidP="00000000" w:rsidRDefault="00000000" w:rsidRPr="00000000" w14:paraId="00000016">
      <w:pPr>
        <w:widowControl w:val="0"/>
        <w:spacing w:line="240" w:lineRule="auto"/>
        <w:ind w:left="1" w:right="0" w:firstLine="16"/>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www.casadragones.com</w:t>
      </w:r>
    </w:p>
    <w:p w:rsidR="00000000" w:rsidDel="00000000" w:rsidP="00000000" w:rsidRDefault="00000000" w:rsidRPr="00000000" w14:paraId="00000017">
      <w:pPr>
        <w:widowControl w:val="0"/>
        <w:spacing w:line="240" w:lineRule="auto"/>
        <w:ind w:left="1" w:right="0" w:firstLine="16"/>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8">
      <w:pPr>
        <w:widowControl w:val="0"/>
        <w:spacing w:line="240" w:lineRule="auto"/>
        <w:ind w:left="1" w:right="0" w:firstLine="16"/>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9">
      <w:pPr>
        <w:widowControl w:val="0"/>
        <w:spacing w:line="240" w:lineRule="auto"/>
        <w:ind w:left="1" w:right="0" w:firstLine="16"/>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CONTACTO PARA PRENSA</w:t>
      </w:r>
    </w:p>
    <w:p w:rsidR="00000000" w:rsidDel="00000000" w:rsidP="00000000" w:rsidRDefault="00000000" w:rsidRPr="00000000" w14:paraId="0000001A">
      <w:pPr>
        <w:widowControl w:val="0"/>
        <w:spacing w:line="240" w:lineRule="auto"/>
        <w:ind w:left="1" w:right="0" w:firstLine="16"/>
        <w:jc w:val="both"/>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XXX</w:t>
      </w:r>
    </w:p>
    <w:sectPr>
      <w:headerReference r:id="rId8" w:type="default"/>
      <w:footerReference r:id="rId9" w:type="default"/>
      <w:pgSz w:h="15840" w:w="12240" w:orient="portrait"/>
      <w:pgMar w:bottom="1507" w:top="777" w:left="1444" w:right="138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widowControl w:val="0"/>
      <w:spacing w:line="240" w:lineRule="auto"/>
      <w:jc w:val="center"/>
      <w:rPr/>
    </w:pPr>
    <w:r w:rsidDel="00000000" w:rsidR="00000000" w:rsidRPr="00000000">
      <w:rPr/>
      <w:drawing>
        <wp:inline distB="0" distT="0" distL="0" distR="0">
          <wp:extent cx="3309303" cy="5696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09303" cy="5696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asadragones.com/us" TargetMode="External"/><Relationship Id="rId7" Type="http://schemas.openxmlformats.org/officeDocument/2006/relationships/hyperlink" Target="https://casadragones.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